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Częstochowie I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28 września 2018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w Częstochowie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Częstochowie I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w Częstochowie,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WSPÓLNOTA SAMORZĄDOWA POWIATU CZĘSTOCHOWSKIEGO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POROZUMIENIE DLA POWIATU CZĘSTOCHOWSKIEGO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25" w:rsidRPr="00027E98">
        <w:t>Komisarz Wyborczy w Częstochowie I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Lidia Dudek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F2631"/>
    <w:rsid w:val="00CE031B"/>
    <w:rsid w:val="00CE5526"/>
    <w:rsid w:val="00DB0B00"/>
    <w:rsid w:val="00E64457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Katarzyna Majewska</cp:lastModifiedBy>
  <cp:revision>2</cp:revision>
  <cp:lastPrinted>2014-10-17T09:26:00Z</cp:lastPrinted>
  <dcterms:created xsi:type="dcterms:W3CDTF">2018-10-01T13:11:00Z</dcterms:created>
  <dcterms:modified xsi:type="dcterms:W3CDTF">2018-10-01T13:11:00Z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